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Załącznik VI.5.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Metody i techniki rozwijania postawy kreatywnej wśród uczniów.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(potnij karteczki do wylosowania przez uczestników).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>eksperymenty i doświadczenia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>metod</w:t>
      </w:r>
      <w:r>
        <w:rPr>
          <w:rFonts w:ascii="Calibri" w:eastAsia="Times New Roman" w:hAnsi="Calibri" w:cs="Arial"/>
          <w:sz w:val="24"/>
          <w:szCs w:val="24"/>
          <w:lang w:eastAsia="pl-PL"/>
        </w:rPr>
        <w:t>a rozwiązywania problemów (PBL)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>m</w:t>
      </w:r>
      <w:r>
        <w:rPr>
          <w:rFonts w:ascii="Calibri" w:eastAsia="Times New Roman" w:hAnsi="Calibri" w:cs="Arial"/>
          <w:sz w:val="24"/>
          <w:szCs w:val="24"/>
          <w:lang w:eastAsia="pl-PL"/>
        </w:rPr>
        <w:t>etody dyskusji i interpretacji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drama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symulacje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giełda pomysłów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studium przypadku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>tworzeni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e komiksów, blogów, </w:t>
      </w:r>
      <w:proofErr w:type="spellStart"/>
      <w:r>
        <w:rPr>
          <w:rFonts w:ascii="Calibri" w:eastAsia="Times New Roman" w:hAnsi="Calibri" w:cs="Arial"/>
          <w:sz w:val="24"/>
          <w:szCs w:val="24"/>
          <w:lang w:eastAsia="pl-PL"/>
        </w:rPr>
        <w:t>WebQuestów</w:t>
      </w:r>
      <w:proofErr w:type="spellEnd"/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e-portfolio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gry edukacyjne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8E6CF6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>wykorzystanie cyfrowych narzędzi</w:t>
      </w:r>
    </w:p>
    <w:p w:rsidR="00DA62B9" w:rsidRDefault="00DA62B9"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DA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B9"/>
    <w:rsid w:val="002839F6"/>
    <w:rsid w:val="008E6CF6"/>
    <w:rsid w:val="00D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1</cp:revision>
  <dcterms:created xsi:type="dcterms:W3CDTF">2019-01-09T21:59:00Z</dcterms:created>
  <dcterms:modified xsi:type="dcterms:W3CDTF">2019-01-09T22:08:00Z</dcterms:modified>
</cp:coreProperties>
</file>